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E8" w:rsidRDefault="004219E8" w:rsidP="004219E8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60020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S Blu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72" w:rsidRDefault="00E62372" w:rsidP="00606703">
      <w:pPr>
        <w:rPr>
          <w:color w:val="000000"/>
        </w:rPr>
      </w:pPr>
    </w:p>
    <w:p w:rsidR="00606703" w:rsidRDefault="00606703" w:rsidP="00606703">
      <w:pPr>
        <w:rPr>
          <w:rFonts w:ascii="Calibri" w:eastAsiaTheme="minorHAnsi" w:hAnsi="Calibri"/>
          <w:color w:val="000000"/>
          <w:sz w:val="22"/>
          <w:szCs w:val="22"/>
          <w:lang w:eastAsia="en-US"/>
        </w:rPr>
      </w:pPr>
      <w:r>
        <w:rPr>
          <w:color w:val="000000"/>
        </w:rPr>
        <w:t> </w:t>
      </w:r>
    </w:p>
    <w:p w:rsidR="00606703" w:rsidRDefault="00606703" w:rsidP="00606703">
      <w:pPr>
        <w:rPr>
          <w:color w:val="000000"/>
        </w:rPr>
      </w:pPr>
      <w:r>
        <w:rPr>
          <w:color w:val="000000"/>
        </w:rPr>
        <w:t> </w:t>
      </w:r>
    </w:p>
    <w:p w:rsidR="00606703" w:rsidRDefault="00606703" w:rsidP="00606703">
      <w:pPr>
        <w:rPr>
          <w:color w:val="000000"/>
        </w:rPr>
      </w:pPr>
    </w:p>
    <w:p w:rsidR="00606703" w:rsidRDefault="00606703" w:rsidP="00606703">
      <w:pPr>
        <w:rPr>
          <w:color w:val="000000"/>
        </w:rPr>
      </w:pPr>
    </w:p>
    <w:p w:rsidR="005E5285" w:rsidRDefault="005E5285" w:rsidP="00606703">
      <w:pPr>
        <w:rPr>
          <w:rFonts w:ascii="Arial" w:hAnsi="Arial" w:cs="Arial"/>
          <w:color w:val="000000"/>
        </w:rPr>
      </w:pPr>
    </w:p>
    <w:p w:rsidR="005E5285" w:rsidRDefault="005E5285" w:rsidP="00606703">
      <w:pPr>
        <w:rPr>
          <w:rFonts w:ascii="Arial" w:hAnsi="Arial" w:cs="Arial"/>
          <w:color w:val="000000"/>
        </w:rPr>
      </w:pPr>
    </w:p>
    <w:p w:rsidR="0074610F" w:rsidRPr="0074610F" w:rsidRDefault="0074610F" w:rsidP="0074610F">
      <w:pPr>
        <w:pStyle w:val="Heading1"/>
        <w:spacing w:before="0"/>
        <w:rPr>
          <w:sz w:val="28"/>
          <w:szCs w:val="28"/>
        </w:rPr>
      </w:pPr>
      <w:r w:rsidRPr="0074610F">
        <w:rPr>
          <w:sz w:val="28"/>
          <w:szCs w:val="28"/>
        </w:rPr>
        <w:t>A checklist for Peer Observation of Teaching</w:t>
      </w:r>
    </w:p>
    <w:p w:rsidR="0074610F" w:rsidRPr="006E001E" w:rsidRDefault="0074610F" w:rsidP="0074610F">
      <w:pPr>
        <w:rPr>
          <w:rFonts w:asciiTheme="majorHAnsi" w:hAnsiTheme="majorHAnsi"/>
          <w:b/>
          <w:sz w:val="22"/>
          <w:szCs w:val="22"/>
        </w:rPr>
      </w:pPr>
      <w:r w:rsidRPr="006E001E">
        <w:rPr>
          <w:rFonts w:asciiTheme="majorHAnsi" w:hAnsiTheme="majorHAnsi"/>
          <w:b/>
          <w:sz w:val="22"/>
          <w:szCs w:val="22"/>
        </w:rPr>
        <w:t>(Adapted from University of Minnesota’s Center for Teaching and Learning)</w:t>
      </w:r>
    </w:p>
    <w:p w:rsidR="0074610F" w:rsidRPr="006122BB" w:rsidRDefault="0074610F" w:rsidP="0074610F">
      <w:pPr>
        <w:rPr>
          <w:rFonts w:asciiTheme="majorHAnsi" w:hAnsiTheme="majorHAnsi"/>
          <w:b/>
          <w:sz w:val="22"/>
          <w:szCs w:val="22"/>
        </w:rPr>
      </w:pPr>
    </w:p>
    <w:p w:rsidR="00E62372" w:rsidRDefault="0074610F" w:rsidP="0074610F">
      <w:pPr>
        <w:rPr>
          <w:rFonts w:asciiTheme="majorHAnsi" w:hAnsiTheme="majorHAnsi"/>
          <w:sz w:val="22"/>
          <w:szCs w:val="22"/>
        </w:rPr>
      </w:pPr>
      <w:r w:rsidRPr="006E001E">
        <w:rPr>
          <w:rFonts w:asciiTheme="majorHAnsi" w:hAnsiTheme="majorHAnsi"/>
          <w:sz w:val="22"/>
          <w:szCs w:val="22"/>
        </w:rPr>
        <w:t xml:space="preserve">This is intended as a guide for those of you observing your colleagues for the purposes </w:t>
      </w:r>
      <w:r w:rsidR="00E62372">
        <w:rPr>
          <w:rFonts w:asciiTheme="majorHAnsi" w:hAnsiTheme="majorHAnsi"/>
          <w:sz w:val="22"/>
          <w:szCs w:val="22"/>
        </w:rPr>
        <w:t>of your and their professional development</w:t>
      </w:r>
      <w:r w:rsidRPr="006E001E">
        <w:rPr>
          <w:rFonts w:asciiTheme="majorHAnsi" w:hAnsiTheme="majorHAnsi"/>
          <w:sz w:val="22"/>
          <w:szCs w:val="22"/>
        </w:rPr>
        <w:t>.  It is not meant to prescriptive nor should it be used as the structu</w:t>
      </w:r>
      <w:r w:rsidR="00E62372">
        <w:rPr>
          <w:rFonts w:asciiTheme="majorHAnsi" w:hAnsiTheme="majorHAnsi"/>
          <w:sz w:val="22"/>
          <w:szCs w:val="22"/>
        </w:rPr>
        <w:t>re of your observation report; instead we suggest using the form provided in this section</w:t>
      </w:r>
      <w:r w:rsidRPr="006E001E">
        <w:rPr>
          <w:rFonts w:asciiTheme="majorHAnsi" w:hAnsiTheme="majorHAnsi"/>
          <w:sz w:val="22"/>
          <w:szCs w:val="22"/>
        </w:rPr>
        <w:t xml:space="preserve">.   </w:t>
      </w:r>
    </w:p>
    <w:p w:rsidR="00E62372" w:rsidRDefault="00E62372" w:rsidP="0074610F">
      <w:pPr>
        <w:rPr>
          <w:rFonts w:asciiTheme="majorHAnsi" w:hAnsiTheme="majorHAnsi"/>
          <w:sz w:val="22"/>
          <w:szCs w:val="22"/>
        </w:rPr>
      </w:pPr>
    </w:p>
    <w:p w:rsidR="0074610F" w:rsidRPr="006E001E" w:rsidRDefault="00E62372" w:rsidP="007461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74610F" w:rsidRPr="006E001E">
        <w:rPr>
          <w:rFonts w:asciiTheme="majorHAnsi" w:hAnsiTheme="majorHAnsi"/>
          <w:sz w:val="22"/>
          <w:szCs w:val="22"/>
        </w:rPr>
        <w:t>ote</w:t>
      </w:r>
      <w:r>
        <w:rPr>
          <w:rFonts w:asciiTheme="majorHAnsi" w:hAnsiTheme="majorHAnsi"/>
          <w:sz w:val="22"/>
          <w:szCs w:val="22"/>
        </w:rPr>
        <w:t>:</w:t>
      </w:r>
      <w:r w:rsidR="0074610F" w:rsidRPr="006E001E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74610F">
        <w:rPr>
          <w:rFonts w:asciiTheme="majorHAnsi" w:hAnsiTheme="majorHAnsi"/>
          <w:sz w:val="22"/>
          <w:szCs w:val="22"/>
        </w:rPr>
        <w:t>the checklist is mainly designed for lecture observation and so some</w:t>
      </w:r>
      <w:r w:rsidR="0074610F" w:rsidRPr="006E001E">
        <w:rPr>
          <w:rFonts w:asciiTheme="majorHAnsi" w:hAnsiTheme="majorHAnsi"/>
          <w:sz w:val="22"/>
          <w:szCs w:val="22"/>
        </w:rPr>
        <w:t xml:space="preserve"> items will be redundant </w:t>
      </w:r>
      <w:r w:rsidR="0074610F">
        <w:rPr>
          <w:rFonts w:asciiTheme="majorHAnsi" w:hAnsiTheme="majorHAnsi"/>
          <w:sz w:val="22"/>
          <w:szCs w:val="22"/>
        </w:rPr>
        <w:t>if another</w:t>
      </w:r>
      <w:r w:rsidR="0074610F" w:rsidRPr="006E001E">
        <w:rPr>
          <w:rFonts w:asciiTheme="majorHAnsi" w:hAnsiTheme="majorHAnsi"/>
          <w:sz w:val="22"/>
          <w:szCs w:val="22"/>
        </w:rPr>
        <w:t xml:space="preserve"> format </w:t>
      </w:r>
      <w:r w:rsidR="0074610F">
        <w:rPr>
          <w:rFonts w:asciiTheme="majorHAnsi" w:hAnsiTheme="majorHAnsi"/>
          <w:sz w:val="22"/>
          <w:szCs w:val="22"/>
        </w:rPr>
        <w:t>is</w:t>
      </w:r>
      <w:r w:rsidR="0074610F" w:rsidRPr="006E001E">
        <w:rPr>
          <w:rFonts w:asciiTheme="majorHAnsi" w:hAnsiTheme="majorHAnsi"/>
          <w:sz w:val="22"/>
          <w:szCs w:val="22"/>
        </w:rPr>
        <w:t xml:space="preserve"> being observed.</w:t>
      </w:r>
    </w:p>
    <w:p w:rsidR="0074610F" w:rsidRDefault="0074610F" w:rsidP="0074610F">
      <w:pPr>
        <w:jc w:val="center"/>
        <w:rPr>
          <w:b/>
          <w:sz w:val="28"/>
        </w:rPr>
      </w:pPr>
    </w:p>
    <w:p w:rsidR="0074610F" w:rsidRPr="006122BB" w:rsidRDefault="0074610F" w:rsidP="0074610F">
      <w:pPr>
        <w:pStyle w:val="Heading1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DESIGN</w:t>
      </w:r>
    </w:p>
    <w:p w:rsidR="0074610F" w:rsidRPr="003F3053" w:rsidRDefault="0074610F" w:rsidP="007461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Begins class on time in an orderly, organised fashion</w:t>
      </w:r>
    </w:p>
    <w:p w:rsidR="0074610F" w:rsidRPr="003F3053" w:rsidRDefault="0074610F" w:rsidP="007461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Clearly states the goal of the session</w:t>
      </w:r>
    </w:p>
    <w:p w:rsidR="0074610F" w:rsidRPr="003F3053" w:rsidRDefault="0074610F" w:rsidP="007461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Provides milestones and summaries ions</w:t>
      </w:r>
    </w:p>
    <w:p w:rsidR="0074610F" w:rsidRPr="003F3053" w:rsidRDefault="0074610F" w:rsidP="007461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Summarises and distills main points at the end of class</w:t>
      </w:r>
    </w:p>
    <w:p w:rsidR="0074610F" w:rsidRDefault="0074610F" w:rsidP="007461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Selects teaching methods appropriate for the content</w:t>
      </w:r>
    </w:p>
    <w:p w:rsidR="0074610F" w:rsidRPr="003F3053" w:rsidRDefault="0074610F" w:rsidP="007461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Appears well-prepared for class</w:t>
      </w:r>
    </w:p>
    <w:p w:rsidR="0074610F" w:rsidRPr="006122BB" w:rsidRDefault="0074610F" w:rsidP="0074610F">
      <w:pPr>
        <w:rPr>
          <w:rFonts w:asciiTheme="majorHAnsi" w:hAnsiTheme="majorHAnsi"/>
          <w:sz w:val="22"/>
          <w:szCs w:val="22"/>
        </w:rPr>
      </w:pPr>
    </w:p>
    <w:p w:rsidR="0074610F" w:rsidRPr="006122BB" w:rsidRDefault="0074610F" w:rsidP="0074610F">
      <w:pPr>
        <w:pStyle w:val="Heading1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DELIVERY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Uses teaching supports like presentations, videos, demos effectively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Board writing is large and legible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Speech fillers, (for example, “OK, ahm”) are not distracting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Speaks audibly and clearly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Uses gestures to enhance meaning and are not distracting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Communicates a sense of enthusiasm and excitement toward the content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Presentation style facilitates note-taking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 xml:space="preserve">Establishes and maintains eye contact with students, i.e. talks to the students, not the board 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Responds to changes in student attentiveness</w:t>
      </w:r>
    </w:p>
    <w:p w:rsidR="0074610F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Uses space effectively i.e. does not “hide” behind the podium)</w:t>
      </w:r>
    </w:p>
    <w:p w:rsidR="0074610F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Uses authority appropriately to create an environment conducive to learning</w:t>
      </w:r>
    </w:p>
    <w:p w:rsidR="0074610F" w:rsidRPr="003F3053" w:rsidRDefault="0074610F" w:rsidP="0074610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Speaks about course content with confidence and authority</w:t>
      </w:r>
    </w:p>
    <w:p w:rsidR="0074610F" w:rsidRPr="006122BB" w:rsidRDefault="0074610F" w:rsidP="0074610F">
      <w:pPr>
        <w:rPr>
          <w:rFonts w:asciiTheme="majorHAnsi" w:hAnsiTheme="majorHAnsi"/>
          <w:sz w:val="22"/>
          <w:szCs w:val="22"/>
        </w:rPr>
      </w:pPr>
    </w:p>
    <w:p w:rsidR="0074610F" w:rsidRPr="006122BB" w:rsidRDefault="0074610F" w:rsidP="0074610F">
      <w:pPr>
        <w:pStyle w:val="Heading1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STUDENT ENGAGEMENT</w:t>
      </w:r>
    </w:p>
    <w:p w:rsidR="0074610F" w:rsidRPr="003F3053" w:rsidRDefault="0074610F" w:rsidP="0074610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Knows and uses student names</w:t>
      </w:r>
    </w:p>
    <w:p w:rsidR="0074610F" w:rsidRPr="003F3053" w:rsidRDefault="0074610F" w:rsidP="0074610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 xml:space="preserve">Listens carefully to student comments and questions </w:t>
      </w:r>
    </w:p>
    <w:p w:rsidR="0074610F" w:rsidRPr="003F3053" w:rsidRDefault="0074610F" w:rsidP="0074610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Encourages student questions, involvement, and debate</w:t>
      </w:r>
    </w:p>
    <w:p w:rsidR="00E62372" w:rsidRDefault="0074610F" w:rsidP="00B03E8C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62372">
        <w:rPr>
          <w:rFonts w:asciiTheme="majorHAnsi" w:hAnsiTheme="majorHAnsi"/>
          <w:sz w:val="22"/>
          <w:szCs w:val="22"/>
        </w:rPr>
        <w:t xml:space="preserve">Gives students enough time to respond to questions </w:t>
      </w:r>
    </w:p>
    <w:p w:rsidR="0074610F" w:rsidRPr="003F3053" w:rsidRDefault="0074610F" w:rsidP="0074610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 xml:space="preserve">Praises students for contributions </w:t>
      </w:r>
    </w:p>
    <w:p w:rsidR="0074610F" w:rsidRPr="003F3053" w:rsidRDefault="0074610F" w:rsidP="0074610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Treats class members equitably</w:t>
      </w:r>
    </w:p>
    <w:p w:rsidR="0074610F" w:rsidRDefault="0074610F" w:rsidP="0074610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F3053">
        <w:rPr>
          <w:rFonts w:asciiTheme="majorHAnsi" w:hAnsiTheme="majorHAnsi"/>
          <w:sz w:val="22"/>
          <w:szCs w:val="22"/>
        </w:rPr>
        <w:t>Allows relevant student discussion to proceed uninterrupted</w:t>
      </w:r>
    </w:p>
    <w:p w:rsidR="005E5285" w:rsidRPr="00E62372" w:rsidRDefault="0074610F" w:rsidP="000E079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62372">
        <w:rPr>
          <w:rFonts w:asciiTheme="majorHAnsi" w:hAnsiTheme="majorHAnsi"/>
          <w:sz w:val="22"/>
          <w:szCs w:val="22"/>
        </w:rPr>
        <w:t>Presents challenging questions to stimulate discussion</w:t>
      </w:r>
    </w:p>
    <w:sectPr w:rsidR="005E5285" w:rsidRPr="00E623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DE" w:rsidRDefault="000C7EDE" w:rsidP="00267833">
      <w:r>
        <w:separator/>
      </w:r>
    </w:p>
  </w:endnote>
  <w:endnote w:type="continuationSeparator" w:id="0">
    <w:p w:rsidR="000C7EDE" w:rsidRDefault="000C7EDE" w:rsidP="0026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3" w:rsidRPr="00AA3C7C" w:rsidRDefault="00267833" w:rsidP="00267833">
    <w:pPr>
      <w:pStyle w:val="Footer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AA3C7C">
      <w:rPr>
        <w:rFonts w:ascii="Arial" w:hAnsi="Arial" w:cs="Arial"/>
        <w:color w:val="A6A6A6" w:themeColor="background1" w:themeShade="A6"/>
        <w:sz w:val="14"/>
        <w:szCs w:val="14"/>
      </w:rPr>
      <w:t>University of the West of Scotland is a registered Scottish Charity Number SC002520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DE" w:rsidRDefault="000C7EDE" w:rsidP="00267833">
      <w:r>
        <w:separator/>
      </w:r>
    </w:p>
  </w:footnote>
  <w:footnote w:type="continuationSeparator" w:id="0">
    <w:p w:rsidR="000C7EDE" w:rsidRDefault="000C7EDE" w:rsidP="0026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9"/>
    <w:multiLevelType w:val="hybridMultilevel"/>
    <w:tmpl w:val="DEC4983A"/>
    <w:lvl w:ilvl="0" w:tplc="16B2F5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4E7D"/>
    <w:multiLevelType w:val="hybridMultilevel"/>
    <w:tmpl w:val="D286FDC4"/>
    <w:lvl w:ilvl="0" w:tplc="16B2F5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5105"/>
    <w:multiLevelType w:val="hybridMultilevel"/>
    <w:tmpl w:val="C422034A"/>
    <w:lvl w:ilvl="0" w:tplc="16B2F5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B"/>
    <w:rsid w:val="000C7EDE"/>
    <w:rsid w:val="00267833"/>
    <w:rsid w:val="00280F0D"/>
    <w:rsid w:val="003006A8"/>
    <w:rsid w:val="00324884"/>
    <w:rsid w:val="003D0B2F"/>
    <w:rsid w:val="004219E8"/>
    <w:rsid w:val="005E5285"/>
    <w:rsid w:val="00606703"/>
    <w:rsid w:val="0074610F"/>
    <w:rsid w:val="0088463C"/>
    <w:rsid w:val="008E1BF7"/>
    <w:rsid w:val="009A7E89"/>
    <w:rsid w:val="00A6267B"/>
    <w:rsid w:val="00AB656A"/>
    <w:rsid w:val="00E55863"/>
    <w:rsid w:val="00E62372"/>
    <w:rsid w:val="00F01529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393D"/>
  <w15:chartTrackingRefBased/>
  <w15:docId w15:val="{5AE3E140-FF42-4FD4-9725-5DC5DC6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7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8E1BF7"/>
  </w:style>
  <w:style w:type="character" w:customStyle="1" w:styleId="locality">
    <w:name w:val="locality"/>
    <w:basedOn w:val="DefaultParagraphFont"/>
    <w:rsid w:val="008E1BF7"/>
  </w:style>
  <w:style w:type="character" w:customStyle="1" w:styleId="postal-code">
    <w:name w:val="postal-code"/>
    <w:basedOn w:val="DefaultParagraphFont"/>
    <w:rsid w:val="008E1BF7"/>
  </w:style>
  <w:style w:type="paragraph" w:styleId="BalloonText">
    <w:name w:val="Balloon Text"/>
    <w:basedOn w:val="Normal"/>
    <w:link w:val="BalloonTextChar"/>
    <w:uiPriority w:val="99"/>
    <w:semiHidden/>
    <w:unhideWhenUsed/>
    <w:rsid w:val="008E1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F7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7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33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7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33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4610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4610F"/>
    <w:pPr>
      <w:ind w:left="720"/>
      <w:contextualSpacing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Scrivens</dc:creator>
  <cp:keywords/>
  <dc:description/>
  <cp:lastModifiedBy>Jane MacKenzie</cp:lastModifiedBy>
  <cp:revision>2</cp:revision>
  <cp:lastPrinted>2018-01-17T12:22:00Z</cp:lastPrinted>
  <dcterms:created xsi:type="dcterms:W3CDTF">2019-07-09T10:10:00Z</dcterms:created>
  <dcterms:modified xsi:type="dcterms:W3CDTF">2019-07-09T10:10:00Z</dcterms:modified>
</cp:coreProperties>
</file>